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1E00F2" w14:textId="2FF1083F" w:rsidR="0067548C" w:rsidRDefault="00000000">
      <w:pPr>
        <w:spacing w:after="200"/>
        <w:jc w:val="center"/>
      </w:pPr>
      <w:r>
        <w:rPr>
          <w:b/>
          <w:bCs/>
          <w:color w:val="1F4E79"/>
          <w:sz w:val="32"/>
          <w:szCs w:val="32"/>
        </w:rPr>
        <w:t xml:space="preserve">GUÍA DIDÁCTICA </w:t>
      </w:r>
      <w:proofErr w:type="spellStart"/>
      <w:r>
        <w:rPr>
          <w:b/>
          <w:bCs/>
          <w:color w:val="1F4E79"/>
          <w:sz w:val="32"/>
          <w:szCs w:val="32"/>
        </w:rPr>
        <w:t>N°</w:t>
      </w:r>
      <w:proofErr w:type="spellEnd"/>
      <w:r>
        <w:rPr>
          <w:b/>
          <w:bCs/>
          <w:color w:val="1F4E79"/>
          <w:sz w:val="32"/>
          <w:szCs w:val="32"/>
        </w:rPr>
        <w:t xml:space="preserve"> 1</w:t>
      </w:r>
      <w:r w:rsidR="004F6ADA">
        <w:rPr>
          <w:b/>
          <w:bCs/>
          <w:color w:val="1F4E79"/>
          <w:sz w:val="32"/>
          <w:szCs w:val="32"/>
        </w:rPr>
        <w:t>0</w:t>
      </w:r>
    </w:p>
    <w:p w14:paraId="191700FC" w14:textId="77777777" w:rsidR="0067548C" w:rsidRDefault="00000000">
      <w:pPr>
        <w:spacing w:after="400"/>
        <w:jc w:val="center"/>
      </w:pPr>
      <w:r>
        <w:rPr>
          <w:b/>
          <w:bCs/>
          <w:color w:val="1F4E79"/>
          <w:sz w:val="28"/>
          <w:szCs w:val="28"/>
        </w:rPr>
        <w:t>CRIPTA MUSEO BASÍLICA DE LUJÁN</w:t>
      </w:r>
    </w:p>
    <w:p w14:paraId="228D7873" w14:textId="77777777" w:rsidR="0067548C" w:rsidRDefault="00000000">
      <w:pPr>
        <w:spacing w:before="300" w:after="200"/>
      </w:pPr>
      <w:r>
        <w:rPr>
          <w:b/>
          <w:bCs/>
          <w:color w:val="2E75B6"/>
          <w:sz w:val="26"/>
          <w:szCs w:val="26"/>
        </w:rPr>
        <w:t>1. FICHA TÉCNICA</w:t>
      </w:r>
    </w:p>
    <w:p w14:paraId="28529065" w14:textId="77777777" w:rsidR="0067548C" w:rsidRDefault="00000000">
      <w:pPr>
        <w:spacing w:after="100"/>
      </w:pPr>
      <w:r>
        <w:rPr>
          <w:b/>
          <w:bCs/>
        </w:rPr>
        <w:t xml:space="preserve">Museo: </w:t>
      </w:r>
      <w:r>
        <w:t>CRIPTA MUSEO BASÍLICA DE LUJÁN</w:t>
      </w:r>
    </w:p>
    <w:p w14:paraId="027A4A83" w14:textId="77777777" w:rsidR="0067548C" w:rsidRDefault="00000000">
      <w:pPr>
        <w:spacing w:after="100"/>
      </w:pPr>
      <w:r>
        <w:rPr>
          <w:b/>
          <w:bCs/>
        </w:rPr>
        <w:t xml:space="preserve">Ubicación: </w:t>
      </w:r>
      <w:r>
        <w:t>Luján, Provincia de Buenos Aires</w:t>
      </w:r>
    </w:p>
    <w:p w14:paraId="28893292" w14:textId="77777777" w:rsidR="0067548C" w:rsidRDefault="00000000">
      <w:pPr>
        <w:spacing w:after="100"/>
      </w:pPr>
      <w:r>
        <w:rPr>
          <w:b/>
          <w:bCs/>
        </w:rPr>
        <w:t xml:space="preserve">Nivel educativo: </w:t>
      </w:r>
      <w:r>
        <w:t>2° y 3° año de Educación Secundaria</w:t>
      </w:r>
    </w:p>
    <w:p w14:paraId="3265E09C" w14:textId="77777777" w:rsidR="0067548C" w:rsidRDefault="00000000">
      <w:pPr>
        <w:spacing w:after="100"/>
      </w:pPr>
      <w:r>
        <w:rPr>
          <w:b/>
          <w:bCs/>
        </w:rPr>
        <w:t xml:space="preserve">Área curricular: </w:t>
      </w:r>
      <w:r>
        <w:t>Historia del Arte / Historia Cultural</w:t>
      </w:r>
    </w:p>
    <w:p w14:paraId="09669BCA" w14:textId="77777777" w:rsidR="0067548C" w:rsidRDefault="00000000">
      <w:pPr>
        <w:spacing w:after="100"/>
      </w:pPr>
      <w:r>
        <w:rPr>
          <w:b/>
          <w:bCs/>
        </w:rPr>
        <w:t xml:space="preserve">Tema: </w:t>
      </w:r>
      <w:r>
        <w:t>Basílica de Luján: arquitectura neogótica, devoción popular y patrimonio religioso nacional</w:t>
      </w:r>
    </w:p>
    <w:p w14:paraId="40734310" w14:textId="77777777" w:rsidR="0067548C" w:rsidRDefault="00000000">
      <w:pPr>
        <w:spacing w:after="100"/>
      </w:pPr>
      <w:r>
        <w:rPr>
          <w:b/>
          <w:bCs/>
        </w:rPr>
        <w:t xml:space="preserve">Duración sugerida: </w:t>
      </w:r>
      <w:r>
        <w:t>80 minutos (2 módulos)</w:t>
      </w:r>
    </w:p>
    <w:p w14:paraId="20E09CDF" w14:textId="77777777" w:rsidR="0067548C" w:rsidRDefault="00000000">
      <w:pPr>
        <w:spacing w:before="400" w:after="200"/>
      </w:pPr>
      <w:r>
        <w:rPr>
          <w:b/>
          <w:bCs/>
          <w:color w:val="2E75B6"/>
          <w:sz w:val="26"/>
          <w:szCs w:val="26"/>
        </w:rPr>
        <w:t>2. ALINEACIÓN CON NÚCLEOS DE APRENDIZAJES PRIORITARIOS (</w:t>
      </w:r>
      <w:proofErr w:type="spellStart"/>
      <w:r>
        <w:rPr>
          <w:b/>
          <w:bCs/>
          <w:color w:val="2E75B6"/>
          <w:sz w:val="26"/>
          <w:szCs w:val="26"/>
        </w:rPr>
        <w:t>NAPs</w:t>
      </w:r>
      <w:proofErr w:type="spellEnd"/>
      <w:r>
        <w:rPr>
          <w:b/>
          <w:bCs/>
          <w:color w:val="2E75B6"/>
          <w:sz w:val="26"/>
          <w:szCs w:val="26"/>
        </w:rPr>
        <w:t>)</w:t>
      </w:r>
    </w:p>
    <w:p w14:paraId="63EEEB9B" w14:textId="77777777" w:rsidR="0067548C" w:rsidRDefault="00000000">
      <w:pPr>
        <w:spacing w:after="80"/>
      </w:pPr>
      <w:r>
        <w:t>• La comprensión de las manifestaciones religiosas como expresiones culturales</w:t>
      </w:r>
    </w:p>
    <w:p w14:paraId="5FD175EB" w14:textId="77777777" w:rsidR="0067548C" w:rsidRDefault="00000000">
      <w:pPr>
        <w:spacing w:after="80"/>
      </w:pPr>
      <w:r>
        <w:t>• El análisis de la arquitectura como documento histórico</w:t>
      </w:r>
    </w:p>
    <w:p w14:paraId="01A5A5B2" w14:textId="77777777" w:rsidR="0067548C" w:rsidRDefault="00000000">
      <w:pPr>
        <w:spacing w:after="80"/>
      </w:pPr>
      <w:r>
        <w:t>• La identificación del patrimonio religioso como bien cultural</w:t>
      </w:r>
    </w:p>
    <w:p w14:paraId="4AD251AA" w14:textId="77777777" w:rsidR="0067548C" w:rsidRDefault="00000000">
      <w:pPr>
        <w:spacing w:after="80"/>
      </w:pPr>
      <w:r>
        <w:t>• El respeto por la diversidad de creencias y expresiones</w:t>
      </w:r>
    </w:p>
    <w:p w14:paraId="0193C2DA" w14:textId="77777777" w:rsidR="0067548C" w:rsidRDefault="00000000">
      <w:pPr>
        <w:spacing w:before="400" w:after="200"/>
      </w:pPr>
      <w:r>
        <w:rPr>
          <w:b/>
          <w:bCs/>
          <w:color w:val="2E75B6"/>
          <w:sz w:val="26"/>
          <w:szCs w:val="26"/>
        </w:rPr>
        <w:t>3. OBJETIVOS DE APRENDIZAJE</w:t>
      </w:r>
    </w:p>
    <w:p w14:paraId="1CA6C6D7" w14:textId="77777777" w:rsidR="0067548C" w:rsidRDefault="00000000">
      <w:pPr>
        <w:spacing w:after="100"/>
      </w:pPr>
      <w:r>
        <w:rPr>
          <w:b/>
          <w:bCs/>
          <w:i/>
          <w:iCs/>
        </w:rPr>
        <w:t>Objetivos conceptuales (saber):</w:t>
      </w:r>
    </w:p>
    <w:p w14:paraId="4526EEF0" w14:textId="77777777" w:rsidR="0067548C" w:rsidRDefault="00000000">
      <w:pPr>
        <w:spacing w:after="80"/>
      </w:pPr>
      <w:r>
        <w:t>• Conocer la historia de la Basílica de Luján y su construcción</w:t>
      </w:r>
    </w:p>
    <w:p w14:paraId="01A94173" w14:textId="77777777" w:rsidR="0067548C" w:rsidRDefault="00000000">
      <w:pPr>
        <w:spacing w:after="80"/>
      </w:pPr>
      <w:r>
        <w:t>• Comprender el fenómeno de la devoción popular a la Virgen de Luján</w:t>
      </w:r>
    </w:p>
    <w:p w14:paraId="554082E3" w14:textId="77777777" w:rsidR="0067548C" w:rsidRDefault="00000000">
      <w:pPr>
        <w:spacing w:after="80"/>
      </w:pPr>
      <w:r>
        <w:t>• Identificar elementos del arte y arquitectura religiosa neogótica</w:t>
      </w:r>
    </w:p>
    <w:p w14:paraId="26EA1B74" w14:textId="77777777" w:rsidR="0067548C" w:rsidRDefault="00000000">
      <w:pPr>
        <w:spacing w:after="80"/>
      </w:pPr>
      <w:r>
        <w:t>• Analizar el patrimonio arquitectónico y artístico de la Basílica</w:t>
      </w:r>
    </w:p>
    <w:p w14:paraId="7E2C0009" w14:textId="77777777" w:rsidR="0067548C" w:rsidRDefault="00000000">
      <w:pPr>
        <w:spacing w:before="200" w:after="100"/>
      </w:pPr>
      <w:r>
        <w:rPr>
          <w:b/>
          <w:bCs/>
          <w:i/>
          <w:iCs/>
        </w:rPr>
        <w:t>Objetivos procedimentales (saber hacer):</w:t>
      </w:r>
    </w:p>
    <w:p w14:paraId="790A63BC" w14:textId="77777777" w:rsidR="0067548C" w:rsidRDefault="00000000">
      <w:pPr>
        <w:spacing w:after="80"/>
      </w:pPr>
      <w:r>
        <w:t>• Analizar arquitectura neogótica identificando sus elementos característicos</w:t>
      </w:r>
    </w:p>
    <w:p w14:paraId="1EA116EA" w14:textId="77777777" w:rsidR="0067548C" w:rsidRDefault="00000000">
      <w:pPr>
        <w:spacing w:after="80"/>
      </w:pPr>
      <w:r>
        <w:t>• Investigar la historia de la devoción a la Virgen de Luján</w:t>
      </w:r>
    </w:p>
    <w:p w14:paraId="24F8CCFA" w14:textId="77777777" w:rsidR="0067548C" w:rsidRDefault="00000000">
      <w:pPr>
        <w:spacing w:after="80"/>
      </w:pPr>
      <w:r>
        <w:t>• Comparar estilos arquitectónicos religiosos</w:t>
      </w:r>
    </w:p>
    <w:p w14:paraId="77DC4E9C" w14:textId="77777777" w:rsidR="0067548C" w:rsidRDefault="00000000">
      <w:pPr>
        <w:spacing w:after="80"/>
      </w:pPr>
      <w:r>
        <w:t>• Interpretar arte sacro y simbolismo religioso</w:t>
      </w:r>
    </w:p>
    <w:p w14:paraId="59C0B4ED" w14:textId="77777777" w:rsidR="0067548C" w:rsidRDefault="00000000">
      <w:pPr>
        <w:spacing w:before="200" w:after="100"/>
      </w:pPr>
      <w:r>
        <w:rPr>
          <w:b/>
          <w:bCs/>
          <w:i/>
          <w:iCs/>
        </w:rPr>
        <w:t>Objetivos actitudinales (valorar):</w:t>
      </w:r>
    </w:p>
    <w:p w14:paraId="50E9C47C" w14:textId="77777777" w:rsidR="0067548C" w:rsidRDefault="00000000">
      <w:pPr>
        <w:spacing w:after="80"/>
      </w:pPr>
      <w:r>
        <w:t>• Valorar el patrimonio religioso como bien cultural nacional</w:t>
      </w:r>
    </w:p>
    <w:p w14:paraId="3323A177" w14:textId="77777777" w:rsidR="0067548C" w:rsidRDefault="00000000">
      <w:pPr>
        <w:spacing w:after="80"/>
      </w:pPr>
      <w:r>
        <w:t>• Apreciar la diversidad de expresiones culturales y religiosas</w:t>
      </w:r>
    </w:p>
    <w:p w14:paraId="78F61297" w14:textId="77777777" w:rsidR="0067548C" w:rsidRDefault="00000000">
      <w:pPr>
        <w:spacing w:after="80"/>
      </w:pPr>
      <w:r>
        <w:t>• Respetar el patrimonio espiritual de las comunidades</w:t>
      </w:r>
    </w:p>
    <w:p w14:paraId="19BD0243" w14:textId="77777777" w:rsidR="00A25902" w:rsidRDefault="00A25902">
      <w:pPr>
        <w:rPr>
          <w:b/>
          <w:bCs/>
          <w:color w:val="2E75B6"/>
          <w:sz w:val="26"/>
          <w:szCs w:val="26"/>
        </w:rPr>
      </w:pPr>
      <w:r>
        <w:rPr>
          <w:b/>
          <w:bCs/>
          <w:color w:val="2E75B6"/>
          <w:sz w:val="26"/>
          <w:szCs w:val="26"/>
        </w:rPr>
        <w:br w:type="page"/>
      </w:r>
    </w:p>
    <w:p w14:paraId="13342C2F" w14:textId="02A547B8" w:rsidR="0067548C" w:rsidRDefault="00000000">
      <w:pPr>
        <w:spacing w:before="400" w:after="200"/>
      </w:pPr>
      <w:r>
        <w:rPr>
          <w:b/>
          <w:bCs/>
          <w:color w:val="2E75B6"/>
          <w:sz w:val="26"/>
          <w:szCs w:val="26"/>
        </w:rPr>
        <w:lastRenderedPageBreak/>
        <w:t>4. CONTENIDOS CURRICULARES</w:t>
      </w:r>
    </w:p>
    <w:p w14:paraId="538FCE55" w14:textId="77777777" w:rsidR="0067548C" w:rsidRDefault="00000000">
      <w:pPr>
        <w:spacing w:after="80"/>
      </w:pPr>
      <w:r>
        <w:t>• Historia de la Basílica de Luján: desde el milagro fundacional hasta la construcción actual</w:t>
      </w:r>
    </w:p>
    <w:p w14:paraId="4EEB62C0" w14:textId="77777777" w:rsidR="0067548C" w:rsidRDefault="00000000">
      <w:pPr>
        <w:spacing w:after="80"/>
      </w:pPr>
      <w:r>
        <w:t>• Arquitectura neogótica: características y simbolismo</w:t>
      </w:r>
    </w:p>
    <w:p w14:paraId="373851B7" w14:textId="77777777" w:rsidR="0067548C" w:rsidRDefault="00000000">
      <w:pPr>
        <w:spacing w:after="80"/>
      </w:pPr>
      <w:r>
        <w:t>• Devoción mariana: la Virgen de Luján como patrona de Argentina</w:t>
      </w:r>
    </w:p>
    <w:p w14:paraId="06A3BDE3" w14:textId="77777777" w:rsidR="0067548C" w:rsidRDefault="00000000">
      <w:pPr>
        <w:spacing w:after="80"/>
      </w:pPr>
      <w:r>
        <w:t>• Arte sacro: vitrales, esculturas, objetos litúrgicos</w:t>
      </w:r>
    </w:p>
    <w:p w14:paraId="52B8703A" w14:textId="77777777" w:rsidR="0067548C" w:rsidRDefault="00000000">
      <w:pPr>
        <w:spacing w:before="200" w:after="100"/>
      </w:pPr>
      <w:r>
        <w:rPr>
          <w:b/>
          <w:bCs/>
          <w:i/>
          <w:iCs/>
        </w:rPr>
        <w:t>Competencias transversales:</w:t>
      </w:r>
    </w:p>
    <w:p w14:paraId="08B634D8" w14:textId="77777777" w:rsidR="0067548C" w:rsidRDefault="00000000">
      <w:pPr>
        <w:spacing w:after="80"/>
      </w:pPr>
      <w:r>
        <w:t>• Alfabetización digital y navegación en entornos virtuales 360°</w:t>
      </w:r>
    </w:p>
    <w:p w14:paraId="5115F8CB" w14:textId="77777777" w:rsidR="0067548C" w:rsidRDefault="00000000">
      <w:pPr>
        <w:spacing w:after="80"/>
      </w:pPr>
      <w:r>
        <w:t>• Comprensión lectora de textos informativos</w:t>
      </w:r>
    </w:p>
    <w:p w14:paraId="52F651AC" w14:textId="77777777" w:rsidR="0067548C" w:rsidRDefault="00000000">
      <w:pPr>
        <w:spacing w:after="80"/>
      </w:pPr>
      <w:r>
        <w:t>• Expresión escrita argumentativa</w:t>
      </w:r>
    </w:p>
    <w:p w14:paraId="4EA809BA" w14:textId="77777777" w:rsidR="0067548C" w:rsidRDefault="00000000">
      <w:pPr>
        <w:spacing w:after="80"/>
      </w:pPr>
      <w:r>
        <w:t>• Trabajo colaborativo</w:t>
      </w:r>
    </w:p>
    <w:p w14:paraId="1F8A0109" w14:textId="77777777" w:rsidR="0067548C" w:rsidRDefault="00000000">
      <w:pPr>
        <w:spacing w:after="80"/>
      </w:pPr>
      <w:r>
        <w:t>• Pensamiento crítico y reflexivo</w:t>
      </w:r>
    </w:p>
    <w:p w14:paraId="0C566F4B" w14:textId="77777777" w:rsidR="0067548C" w:rsidRDefault="00000000">
      <w:pPr>
        <w:spacing w:before="400" w:after="200"/>
      </w:pPr>
      <w:r>
        <w:rPr>
          <w:b/>
          <w:bCs/>
          <w:color w:val="2E75B6"/>
          <w:sz w:val="26"/>
          <w:szCs w:val="26"/>
        </w:rPr>
        <w:t>5. SECUENCIA DIDÁCTICA</w:t>
      </w:r>
    </w:p>
    <w:p w14:paraId="6AF84C7C" w14:textId="77777777" w:rsidR="0067548C" w:rsidRDefault="00000000">
      <w:pPr>
        <w:spacing w:before="300" w:after="200"/>
      </w:pPr>
      <w:r>
        <w:rPr>
          <w:b/>
          <w:bCs/>
          <w:color w:val="538135"/>
          <w:sz w:val="24"/>
          <w:szCs w:val="24"/>
        </w:rPr>
        <w:t>FASE 1: PRE-VISITA - Activación de conocimientos previos</w:t>
      </w:r>
    </w:p>
    <w:p w14:paraId="529B32BF" w14:textId="77777777" w:rsidR="0067548C" w:rsidRDefault="00000000">
      <w:pPr>
        <w:spacing w:after="100"/>
      </w:pPr>
      <w:r>
        <w:rPr>
          <w:b/>
          <w:bCs/>
          <w:i/>
          <w:iCs/>
        </w:rPr>
        <w:t>Contextualización histórica para el docente:</w:t>
      </w:r>
    </w:p>
    <w:p w14:paraId="26F6B369" w14:textId="77777777" w:rsidR="0067548C" w:rsidRDefault="00000000">
      <w:pPr>
        <w:spacing w:after="200"/>
      </w:pPr>
      <w:r>
        <w:t>La Basílica de Nuestra Señora de Luján es el principal santuario católico de Argentina. Su historia comienza en 1630 con el 'milagro de la carreta': según la tradición, una imagen de la Virgen no permitió que la carreta que la transportaba siguiera viaje, indicando que quería quedarse en Luján. La basílica actual fue construida entre 1887 y 1937 en estilo neogótico, imitando las catedrales europeas medievales. Cada año, millones de peregrinos la visitan, especialmente en las peregrinaciones juveniles de octubre.</w:t>
      </w:r>
    </w:p>
    <w:p w14:paraId="614D9DCE" w14:textId="77777777" w:rsidR="0067548C" w:rsidRDefault="00000000">
      <w:pPr>
        <w:spacing w:after="100"/>
      </w:pPr>
      <w:r>
        <w:rPr>
          <w:b/>
          <w:bCs/>
          <w:i/>
          <w:iCs/>
        </w:rPr>
        <w:t>Preguntas para activar conocimientos previos:</w:t>
      </w:r>
    </w:p>
    <w:p w14:paraId="79ABDFCB" w14:textId="77777777" w:rsidR="0067548C" w:rsidRDefault="00000000">
      <w:pPr>
        <w:spacing w:after="80"/>
      </w:pPr>
      <w:r>
        <w:t>1. ¿</w:t>
      </w:r>
      <w:proofErr w:type="spellStart"/>
      <w:r>
        <w:t>Conocés</w:t>
      </w:r>
      <w:proofErr w:type="spellEnd"/>
      <w:r>
        <w:t xml:space="preserve"> la Basílica de Luján? ¿La visitaste alguna vez?</w:t>
      </w:r>
    </w:p>
    <w:p w14:paraId="51B56788" w14:textId="77777777" w:rsidR="0067548C" w:rsidRDefault="00000000">
      <w:pPr>
        <w:spacing w:after="80"/>
      </w:pPr>
      <w:r>
        <w:t>2. ¿</w:t>
      </w:r>
      <w:proofErr w:type="spellStart"/>
      <w:r>
        <w:t>Sabés</w:t>
      </w:r>
      <w:proofErr w:type="spellEnd"/>
      <w:r>
        <w:t xml:space="preserve"> qué es el estilo 'gótico' en arquitectura? ¿Qué características tiene?</w:t>
      </w:r>
    </w:p>
    <w:p w14:paraId="37519EC1" w14:textId="77777777" w:rsidR="0067548C" w:rsidRDefault="00000000">
      <w:pPr>
        <w:spacing w:after="80"/>
      </w:pPr>
      <w:r>
        <w:t>3. ¿</w:t>
      </w:r>
      <w:proofErr w:type="spellStart"/>
      <w:r>
        <w:t>Conocés</w:t>
      </w:r>
      <w:proofErr w:type="spellEnd"/>
      <w:r>
        <w:t xml:space="preserve"> la historia de la Virgen de Luján? ¿Por qué es patrona de Argentina?</w:t>
      </w:r>
    </w:p>
    <w:p w14:paraId="51441D7E" w14:textId="77777777" w:rsidR="0067548C" w:rsidRDefault="00000000">
      <w:pPr>
        <w:spacing w:after="80"/>
      </w:pPr>
      <w:r>
        <w:t xml:space="preserve">4. ¿Por qué </w:t>
      </w:r>
      <w:proofErr w:type="spellStart"/>
      <w:r>
        <w:t>creés</w:t>
      </w:r>
      <w:proofErr w:type="spellEnd"/>
      <w:r>
        <w:t xml:space="preserve"> que millones de personas peregrinan a Luján cada año?</w:t>
      </w:r>
    </w:p>
    <w:p w14:paraId="3D2C3A46" w14:textId="77777777" w:rsidR="0067548C" w:rsidRDefault="00000000">
      <w:pPr>
        <w:spacing w:before="300" w:after="200"/>
      </w:pPr>
      <w:r>
        <w:rPr>
          <w:b/>
          <w:bCs/>
          <w:color w:val="538135"/>
          <w:sz w:val="24"/>
          <w:szCs w:val="24"/>
        </w:rPr>
        <w:t>FASE 2: DURANTE EL RECORRIDO - Exploración guiada</w:t>
      </w:r>
    </w:p>
    <w:p w14:paraId="64C45E8D" w14:textId="77777777" w:rsidR="0067548C" w:rsidRDefault="00000000">
      <w:pPr>
        <w:spacing w:after="150"/>
      </w:pPr>
      <w:r>
        <w:rPr>
          <w:b/>
          <w:bCs/>
          <w:caps/>
        </w:rPr>
        <w:t>GUÍA DE OBSERVACIÓN</w:t>
      </w:r>
    </w:p>
    <w:p w14:paraId="5C6C403B" w14:textId="77777777" w:rsidR="0067548C" w:rsidRDefault="00000000">
      <w:pPr>
        <w:spacing w:after="200"/>
      </w:pPr>
      <w:r>
        <w:rPr>
          <w:i/>
          <w:iCs/>
        </w:rPr>
        <w:t xml:space="preserve">Instrucciones: Durante el recorrido virtual, </w:t>
      </w:r>
      <w:proofErr w:type="spellStart"/>
      <w:r>
        <w:rPr>
          <w:i/>
          <w:iCs/>
        </w:rPr>
        <w:t>completá</w:t>
      </w:r>
      <w:proofErr w:type="spellEnd"/>
      <w:r>
        <w:rPr>
          <w:i/>
          <w:iCs/>
        </w:rPr>
        <w:t xml:space="preserve"> esta guía prestando atención a los siguientes aspectos. </w:t>
      </w:r>
      <w:proofErr w:type="spellStart"/>
      <w:r>
        <w:rPr>
          <w:i/>
          <w:iCs/>
        </w:rPr>
        <w:t>Tomá</w:t>
      </w:r>
      <w:proofErr w:type="spellEnd"/>
      <w:r>
        <w:rPr>
          <w:i/>
          <w:iCs/>
        </w:rPr>
        <w:t xml:space="preserve"> notas de lo que </w:t>
      </w:r>
      <w:proofErr w:type="spellStart"/>
      <w:r>
        <w:rPr>
          <w:i/>
          <w:iCs/>
        </w:rPr>
        <w:t>observás</w:t>
      </w:r>
      <w:proofErr w:type="spellEnd"/>
      <w:r>
        <w:rPr>
          <w:i/>
          <w:iCs/>
        </w:rPr>
        <w:t>.</w:t>
      </w:r>
    </w:p>
    <w:p w14:paraId="3FE8FEAF" w14:textId="77777777" w:rsidR="0067548C" w:rsidRDefault="00000000">
      <w:pPr>
        <w:spacing w:before="150" w:after="50"/>
      </w:pPr>
      <w:r>
        <w:rPr>
          <w:b/>
          <w:bCs/>
        </w:rPr>
        <w:t>1. Arquitectura exterior</w:t>
      </w:r>
    </w:p>
    <w:p w14:paraId="687F64F3" w14:textId="77777777" w:rsidR="0067548C" w:rsidRDefault="00000000">
      <w:pPr>
        <w:spacing w:after="50"/>
      </w:pPr>
      <w:proofErr w:type="spellStart"/>
      <w:r>
        <w:t>Observá</w:t>
      </w:r>
      <w:proofErr w:type="spellEnd"/>
      <w:r>
        <w:t xml:space="preserve"> las torres, las agujas, los rosetones, los arbotantes. ¿Qué elementos del gótico </w:t>
      </w:r>
      <w:proofErr w:type="spellStart"/>
      <w:r>
        <w:t>identificás</w:t>
      </w:r>
      <w:proofErr w:type="spellEnd"/>
      <w:r>
        <w:t>? ¿Qué materiales se usaron?</w:t>
      </w:r>
    </w:p>
    <w:p w14:paraId="7A50B543" w14:textId="77777777" w:rsidR="0067548C" w:rsidRDefault="00000000">
      <w:pPr>
        <w:spacing w:after="100"/>
      </w:pPr>
      <w:r>
        <w:rPr>
          <w:color w:val="666666"/>
        </w:rPr>
        <w:t>Mis observaciones: _______________________________________</w:t>
      </w:r>
    </w:p>
    <w:p w14:paraId="0546B644" w14:textId="77777777" w:rsidR="0067548C" w:rsidRDefault="00000000">
      <w:pPr>
        <w:spacing w:before="150" w:after="50"/>
      </w:pPr>
      <w:r>
        <w:rPr>
          <w:b/>
          <w:bCs/>
        </w:rPr>
        <w:t>2. Arquitectura interior</w:t>
      </w:r>
    </w:p>
    <w:p w14:paraId="04CB09FA" w14:textId="77777777" w:rsidR="0067548C" w:rsidRDefault="00000000">
      <w:pPr>
        <w:spacing w:after="50"/>
      </w:pPr>
      <w:proofErr w:type="spellStart"/>
      <w:r>
        <w:t>Prestá</w:t>
      </w:r>
      <w:proofErr w:type="spellEnd"/>
      <w:r>
        <w:t xml:space="preserve"> atención a las bóvedas, columnas, vitrales. ¿Cómo es la iluminación? ¿Qué sensación produce el espacio?</w:t>
      </w:r>
    </w:p>
    <w:p w14:paraId="7C4A62EE" w14:textId="77777777" w:rsidR="0067548C" w:rsidRDefault="00000000">
      <w:pPr>
        <w:spacing w:after="100"/>
      </w:pPr>
      <w:r>
        <w:rPr>
          <w:color w:val="666666"/>
        </w:rPr>
        <w:t>Mis observaciones: _______________________________________</w:t>
      </w:r>
    </w:p>
    <w:p w14:paraId="4CC23D9F" w14:textId="77777777" w:rsidR="0067548C" w:rsidRDefault="00000000">
      <w:pPr>
        <w:spacing w:before="150" w:after="50"/>
      </w:pPr>
      <w:r>
        <w:rPr>
          <w:b/>
          <w:bCs/>
        </w:rPr>
        <w:t>3. Vitrales</w:t>
      </w:r>
    </w:p>
    <w:p w14:paraId="52C2CBA9" w14:textId="77777777" w:rsidR="0067548C" w:rsidRDefault="00000000">
      <w:pPr>
        <w:spacing w:after="50"/>
      </w:pPr>
      <w:r>
        <w:t>Los vitrales cuentan historias. ¿Qué escenas representan? ¿Qué colores predominan? ¿Qué simbolizan?</w:t>
      </w:r>
    </w:p>
    <w:p w14:paraId="160BF680" w14:textId="77777777" w:rsidR="0067548C" w:rsidRDefault="00000000">
      <w:pPr>
        <w:spacing w:after="100"/>
      </w:pPr>
      <w:r>
        <w:rPr>
          <w:color w:val="666666"/>
        </w:rPr>
        <w:t>Mis observaciones: _______________________________________</w:t>
      </w:r>
    </w:p>
    <w:p w14:paraId="63FC59C0" w14:textId="77777777" w:rsidR="0067548C" w:rsidRDefault="00000000">
      <w:pPr>
        <w:spacing w:before="150" w:after="50"/>
      </w:pPr>
      <w:r>
        <w:rPr>
          <w:b/>
          <w:bCs/>
        </w:rPr>
        <w:t>4. La Cripta</w:t>
      </w:r>
    </w:p>
    <w:p w14:paraId="630BFF01" w14:textId="77777777" w:rsidR="0067548C" w:rsidRDefault="00000000">
      <w:pPr>
        <w:spacing w:after="50"/>
      </w:pPr>
      <w:r>
        <w:t>En la cripta hay objetos votivos y arte sacro. ¿Qué ofrendas hay? ¿Qué nos dicen sobre la fe de los peregrinos?</w:t>
      </w:r>
    </w:p>
    <w:p w14:paraId="5E42A48D" w14:textId="77777777" w:rsidR="0067548C" w:rsidRDefault="00000000">
      <w:pPr>
        <w:spacing w:after="100"/>
      </w:pPr>
      <w:r>
        <w:rPr>
          <w:color w:val="666666"/>
        </w:rPr>
        <w:t>Mis observaciones: _______________________________________</w:t>
      </w:r>
    </w:p>
    <w:p w14:paraId="3DAF913C" w14:textId="77777777" w:rsidR="0067548C" w:rsidRDefault="00000000">
      <w:pPr>
        <w:spacing w:before="150" w:after="50"/>
      </w:pPr>
      <w:r>
        <w:rPr>
          <w:b/>
          <w:bCs/>
        </w:rPr>
        <w:t>5. La imagen de la Virgen</w:t>
      </w:r>
    </w:p>
    <w:p w14:paraId="136386BD" w14:textId="77777777" w:rsidR="0067548C" w:rsidRDefault="00000000">
      <w:pPr>
        <w:spacing w:after="50"/>
      </w:pPr>
      <w:proofErr w:type="spellStart"/>
      <w:r>
        <w:t>Observá</w:t>
      </w:r>
      <w:proofErr w:type="spellEnd"/>
      <w:r>
        <w:t xml:space="preserve"> la imagen original (o su reproducción). ¿Cómo es? ¿De qué material está hecha? ¿Cómo está vestida?</w:t>
      </w:r>
    </w:p>
    <w:p w14:paraId="6C34AF43" w14:textId="77777777" w:rsidR="0067548C" w:rsidRDefault="00000000">
      <w:pPr>
        <w:spacing w:after="100"/>
      </w:pPr>
      <w:r>
        <w:rPr>
          <w:color w:val="666666"/>
        </w:rPr>
        <w:t>Mis observaciones: _______________________________________</w:t>
      </w:r>
    </w:p>
    <w:p w14:paraId="3C349CCB" w14:textId="77777777" w:rsidR="0067548C" w:rsidRDefault="00000000">
      <w:pPr>
        <w:spacing w:before="300" w:after="200"/>
      </w:pPr>
      <w:r>
        <w:rPr>
          <w:b/>
          <w:bCs/>
          <w:color w:val="538135"/>
          <w:sz w:val="24"/>
          <w:szCs w:val="24"/>
        </w:rPr>
        <w:t>FASE 3: PROFUNDIZACIÓN - Preguntas problematizadoras</w:t>
      </w:r>
    </w:p>
    <w:p w14:paraId="496FF089" w14:textId="77777777" w:rsidR="0067548C" w:rsidRDefault="00000000">
      <w:pPr>
        <w:spacing w:after="200"/>
      </w:pPr>
      <w:r>
        <w:rPr>
          <w:i/>
          <w:iCs/>
        </w:rPr>
        <w:t xml:space="preserve">Las siguientes preguntas buscan promover el pensamiento crítico. </w:t>
      </w:r>
      <w:proofErr w:type="spellStart"/>
      <w:r>
        <w:rPr>
          <w:i/>
          <w:iCs/>
        </w:rPr>
        <w:t>Respondelas</w:t>
      </w:r>
      <w:proofErr w:type="spellEnd"/>
      <w:r>
        <w:rPr>
          <w:i/>
          <w:iCs/>
        </w:rPr>
        <w:t xml:space="preserve"> utilizando la información del recorrido y tus propias reflexiones.</w:t>
      </w:r>
    </w:p>
    <w:p w14:paraId="666B9AF9" w14:textId="77777777" w:rsidR="0067548C" w:rsidRDefault="00000000">
      <w:pPr>
        <w:spacing w:before="150" w:after="50"/>
      </w:pPr>
      <w:r>
        <w:rPr>
          <w:b/>
          <w:bCs/>
        </w:rPr>
        <w:t xml:space="preserve">Pregunta 1 </w:t>
      </w:r>
      <w:r>
        <w:rPr>
          <w:i/>
          <w:iCs/>
          <w:color w:val="666666"/>
          <w:sz w:val="20"/>
          <w:szCs w:val="20"/>
        </w:rPr>
        <w:t>(Nivel: Análisis)</w:t>
      </w:r>
    </w:p>
    <w:p w14:paraId="49252F2E" w14:textId="77777777" w:rsidR="0067548C" w:rsidRDefault="00000000">
      <w:pPr>
        <w:spacing w:after="150"/>
      </w:pPr>
      <w:proofErr w:type="spellStart"/>
      <w:r>
        <w:t>Analizá</w:t>
      </w:r>
      <w:proofErr w:type="spellEnd"/>
      <w:r>
        <w:t xml:space="preserve"> por qué los constructores de la Basílica eligieron el estilo neogótico (imitación de catedrales medievales europeas). ¿Qué querían transmitir? ¿Qué relación tiene esto con la identidad argentina del siglo XIX?</w:t>
      </w:r>
    </w:p>
    <w:p w14:paraId="328FC0B1" w14:textId="77777777" w:rsidR="0067548C" w:rsidRDefault="00000000">
      <w:pPr>
        <w:spacing w:before="150" w:after="50"/>
      </w:pPr>
      <w:r>
        <w:rPr>
          <w:b/>
          <w:bCs/>
        </w:rPr>
        <w:t xml:space="preserve">Pregunta 2 </w:t>
      </w:r>
      <w:r>
        <w:rPr>
          <w:i/>
          <w:iCs/>
          <w:color w:val="666666"/>
          <w:sz w:val="20"/>
          <w:szCs w:val="20"/>
        </w:rPr>
        <w:t>(Nivel: Evaluación)</w:t>
      </w:r>
    </w:p>
    <w:p w14:paraId="4FE01CFE" w14:textId="77777777" w:rsidR="0067548C" w:rsidRDefault="00000000">
      <w:pPr>
        <w:spacing w:after="150"/>
      </w:pPr>
      <w:r>
        <w:t xml:space="preserve">La peregrinación a Luján es una de las manifestaciones religiosas más importantes de Argentina. ¿Por qué </w:t>
      </w:r>
      <w:proofErr w:type="spellStart"/>
      <w:r>
        <w:t>creés</w:t>
      </w:r>
      <w:proofErr w:type="spellEnd"/>
      <w:r>
        <w:t xml:space="preserve"> que millones de personas caminan 60 km hasta Luján? ¿Qué función cumple este ritual para los peregrinos?</w:t>
      </w:r>
    </w:p>
    <w:p w14:paraId="63C51C2E" w14:textId="77777777" w:rsidR="0067548C" w:rsidRDefault="00000000">
      <w:pPr>
        <w:spacing w:before="150" w:after="50"/>
      </w:pPr>
      <w:r>
        <w:rPr>
          <w:b/>
          <w:bCs/>
        </w:rPr>
        <w:t xml:space="preserve">Pregunta 3 </w:t>
      </w:r>
      <w:r>
        <w:rPr>
          <w:i/>
          <w:iCs/>
          <w:color w:val="666666"/>
          <w:sz w:val="20"/>
          <w:szCs w:val="20"/>
        </w:rPr>
        <w:t>(Nivel: Creación)</w:t>
      </w:r>
    </w:p>
    <w:p w14:paraId="1BD6FDBC" w14:textId="77777777" w:rsidR="0067548C" w:rsidRDefault="00000000">
      <w:pPr>
        <w:spacing w:after="150"/>
      </w:pPr>
      <w:proofErr w:type="spellStart"/>
      <w:r>
        <w:t>Diseñá</w:t>
      </w:r>
      <w:proofErr w:type="spellEnd"/>
      <w:r>
        <w:t xml:space="preserve"> una audioguía de 5 puntos para un recorrido por la Basílica. Para cada punto, escribí: ubicación, qué observar, información histórica/artística relevante, y una pregunta para el visitante.</w:t>
      </w:r>
    </w:p>
    <w:p w14:paraId="21D0D3CA" w14:textId="77777777" w:rsidR="0067548C" w:rsidRDefault="00000000">
      <w:pPr>
        <w:spacing w:before="300" w:after="200"/>
      </w:pPr>
      <w:r>
        <w:rPr>
          <w:b/>
          <w:bCs/>
          <w:color w:val="538135"/>
          <w:sz w:val="24"/>
          <w:szCs w:val="24"/>
        </w:rPr>
        <w:t>FASE 4: POST-VISITA - Producción final</w:t>
      </w:r>
    </w:p>
    <w:p w14:paraId="6359B297" w14:textId="77777777" w:rsidR="0067548C" w:rsidRDefault="00000000">
      <w:pPr>
        <w:spacing w:after="150"/>
      </w:pPr>
      <w:r>
        <w:rPr>
          <w:b/>
          <w:bCs/>
          <w:caps/>
        </w:rPr>
        <w:t>ACTIVIDAD: Informe arquitectónico: La Basílica de Luján</w:t>
      </w:r>
    </w:p>
    <w:p w14:paraId="03252C44" w14:textId="77777777" w:rsidR="0067548C" w:rsidRDefault="00000000">
      <w:pPr>
        <w:spacing w:after="200"/>
      </w:pPr>
      <w:proofErr w:type="spellStart"/>
      <w:r>
        <w:t>Elaborá</w:t>
      </w:r>
      <w:proofErr w:type="spellEnd"/>
      <w:r>
        <w:t xml:space="preserve"> un informe que analice la Basílica como obra arquitectónica, combinando información histórica con observaciones del recorrido virtual.</w:t>
      </w:r>
    </w:p>
    <w:p w14:paraId="441FE546" w14:textId="77777777" w:rsidR="0067548C" w:rsidRDefault="00000000">
      <w:pPr>
        <w:spacing w:after="100"/>
      </w:pPr>
      <w:r>
        <w:rPr>
          <w:b/>
          <w:bCs/>
          <w:i/>
          <w:iCs/>
        </w:rPr>
        <w:t>Requisitos:</w:t>
      </w:r>
    </w:p>
    <w:p w14:paraId="16AB8D98" w14:textId="77777777" w:rsidR="0067548C" w:rsidRDefault="00000000">
      <w:pPr>
        <w:spacing w:after="80"/>
      </w:pPr>
      <w:r>
        <w:t>✓ Extensión: 500-700 palabras</w:t>
      </w:r>
    </w:p>
    <w:p w14:paraId="4E63BE8F" w14:textId="77777777" w:rsidR="0067548C" w:rsidRDefault="00000000">
      <w:pPr>
        <w:spacing w:after="80"/>
      </w:pPr>
      <w:r>
        <w:t>✓ Incluir: historia de la construcción, características del estilo neogótico, descripción de elementos arquitectónicos observados</w:t>
      </w:r>
    </w:p>
    <w:p w14:paraId="63925295" w14:textId="77777777" w:rsidR="0067548C" w:rsidRDefault="00000000">
      <w:pPr>
        <w:spacing w:after="80"/>
      </w:pPr>
      <w:r>
        <w:t>✓ Comparar la Basílica con otras iglesias góticas (</w:t>
      </w:r>
      <w:proofErr w:type="spellStart"/>
      <w:r>
        <w:t>podés</w:t>
      </w:r>
      <w:proofErr w:type="spellEnd"/>
      <w:r>
        <w:t xml:space="preserve"> buscar imágenes de </w:t>
      </w:r>
      <w:proofErr w:type="spellStart"/>
      <w:r>
        <w:t>Notre</w:t>
      </w:r>
      <w:proofErr w:type="spellEnd"/>
      <w:r>
        <w:t xml:space="preserve"> Dame, Catedral de Colonia, etc.)</w:t>
      </w:r>
    </w:p>
    <w:p w14:paraId="7F7707C6" w14:textId="77777777" w:rsidR="0067548C" w:rsidRDefault="00000000">
      <w:pPr>
        <w:spacing w:after="80"/>
      </w:pPr>
      <w:r>
        <w:t>✓ Analizar el simbolismo de los elementos arquitectónicos (altura, luz, vitrales)</w:t>
      </w:r>
    </w:p>
    <w:p w14:paraId="14723B7B" w14:textId="77777777" w:rsidR="0067548C" w:rsidRDefault="00000000">
      <w:pPr>
        <w:spacing w:after="80"/>
      </w:pPr>
      <w:r>
        <w:t>✓ Reflexionar sobre la función de la arquitectura religiosa: ¿qué experiencia busca producir en el visitante?</w:t>
      </w:r>
    </w:p>
    <w:p w14:paraId="7D609D98" w14:textId="77777777" w:rsidR="0067548C" w:rsidRDefault="00000000">
      <w:pPr>
        <w:spacing w:after="80"/>
      </w:pPr>
      <w:r>
        <w:t>✓ Incluir al menos un dibujo o esquema de algún elemento arquitectónico</w:t>
      </w:r>
    </w:p>
    <w:p w14:paraId="11F5A33D" w14:textId="77777777" w:rsidR="00A25902" w:rsidRDefault="00A25902">
      <w:pPr>
        <w:rPr>
          <w:b/>
          <w:bCs/>
          <w:color w:val="2E75B6"/>
          <w:sz w:val="26"/>
          <w:szCs w:val="26"/>
        </w:rPr>
      </w:pPr>
      <w:r>
        <w:rPr>
          <w:b/>
          <w:bCs/>
          <w:color w:val="2E75B6"/>
          <w:sz w:val="26"/>
          <w:szCs w:val="26"/>
        </w:rPr>
        <w:br w:type="page"/>
      </w:r>
    </w:p>
    <w:p w14:paraId="7E8ACE18" w14:textId="030C8276" w:rsidR="0067548C" w:rsidRDefault="00000000">
      <w:pPr>
        <w:spacing w:before="400" w:after="200"/>
      </w:pPr>
      <w:r>
        <w:rPr>
          <w:b/>
          <w:bCs/>
          <w:color w:val="2E75B6"/>
          <w:sz w:val="26"/>
          <w:szCs w:val="26"/>
        </w:rPr>
        <w:t>6. RÚBRICA DE EVALUACIÓN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71"/>
        <w:gridCol w:w="1871"/>
        <w:gridCol w:w="1872"/>
        <w:gridCol w:w="1872"/>
        <w:gridCol w:w="1872"/>
      </w:tblGrid>
      <w:tr w:rsidR="0067548C" w14:paraId="247F8928" w14:textId="77777777">
        <w:tc>
          <w:tcPr>
            <w:tcW w:w="1800" w:type="dxa"/>
            <w:tcBorders>
              <w:top w:val="single" w:sz="1" w:space="0" w:color="999999"/>
              <w:left w:val="single" w:sz="1" w:space="0" w:color="999999"/>
              <w:bottom w:val="single" w:sz="1" w:space="0" w:color="999999"/>
              <w:right w:val="single" w:sz="1" w:space="0" w:color="999999"/>
            </w:tcBorders>
            <w:shd w:val="clear" w:color="auto" w:fill="E6E6E6"/>
          </w:tcPr>
          <w:p w14:paraId="2E1174EB" w14:textId="77777777" w:rsidR="0067548C" w:rsidRDefault="00000000">
            <w:pPr>
              <w:jc w:val="center"/>
            </w:pPr>
            <w:r>
              <w:rPr>
                <w:b/>
                <w:bCs/>
                <w:sz w:val="20"/>
                <w:szCs w:val="20"/>
              </w:rPr>
              <w:t>Criterio</w:t>
            </w:r>
          </w:p>
        </w:tc>
        <w:tc>
          <w:tcPr>
            <w:tcW w:w="1800" w:type="dxa"/>
            <w:tcBorders>
              <w:top w:val="single" w:sz="1" w:space="0" w:color="999999"/>
              <w:left w:val="single" w:sz="1" w:space="0" w:color="999999"/>
              <w:bottom w:val="single" w:sz="1" w:space="0" w:color="999999"/>
              <w:right w:val="single" w:sz="1" w:space="0" w:color="999999"/>
            </w:tcBorders>
            <w:shd w:val="clear" w:color="auto" w:fill="E6E6E6"/>
          </w:tcPr>
          <w:p w14:paraId="6EBF1B22" w14:textId="77777777" w:rsidR="0067548C" w:rsidRDefault="00000000">
            <w:pPr>
              <w:jc w:val="center"/>
            </w:pPr>
            <w:r>
              <w:rPr>
                <w:b/>
                <w:bCs/>
                <w:sz w:val="20"/>
                <w:szCs w:val="20"/>
              </w:rPr>
              <w:t>Experto (4)</w:t>
            </w:r>
          </w:p>
        </w:tc>
        <w:tc>
          <w:tcPr>
            <w:tcW w:w="1800" w:type="dxa"/>
            <w:tcBorders>
              <w:top w:val="single" w:sz="1" w:space="0" w:color="999999"/>
              <w:left w:val="single" w:sz="1" w:space="0" w:color="999999"/>
              <w:bottom w:val="single" w:sz="1" w:space="0" w:color="999999"/>
              <w:right w:val="single" w:sz="1" w:space="0" w:color="999999"/>
            </w:tcBorders>
            <w:shd w:val="clear" w:color="auto" w:fill="E6E6E6"/>
          </w:tcPr>
          <w:p w14:paraId="3480D74C" w14:textId="77777777" w:rsidR="0067548C" w:rsidRDefault="00000000">
            <w:pPr>
              <w:jc w:val="center"/>
            </w:pPr>
            <w:r>
              <w:rPr>
                <w:b/>
                <w:bCs/>
                <w:sz w:val="20"/>
                <w:szCs w:val="20"/>
              </w:rPr>
              <w:t>Avanzado (3)</w:t>
            </w:r>
          </w:p>
        </w:tc>
        <w:tc>
          <w:tcPr>
            <w:tcW w:w="1800" w:type="dxa"/>
            <w:tcBorders>
              <w:top w:val="single" w:sz="1" w:space="0" w:color="999999"/>
              <w:left w:val="single" w:sz="1" w:space="0" w:color="999999"/>
              <w:bottom w:val="single" w:sz="1" w:space="0" w:color="999999"/>
              <w:right w:val="single" w:sz="1" w:space="0" w:color="999999"/>
            </w:tcBorders>
            <w:shd w:val="clear" w:color="auto" w:fill="E6E6E6"/>
          </w:tcPr>
          <w:p w14:paraId="4DD04079" w14:textId="77777777" w:rsidR="0067548C" w:rsidRDefault="00000000">
            <w:pPr>
              <w:jc w:val="center"/>
            </w:pPr>
            <w:r>
              <w:rPr>
                <w:b/>
                <w:bCs/>
                <w:sz w:val="20"/>
                <w:szCs w:val="20"/>
              </w:rPr>
              <w:t>En desarrollo (2)</w:t>
            </w:r>
          </w:p>
        </w:tc>
        <w:tc>
          <w:tcPr>
            <w:tcW w:w="1800" w:type="dxa"/>
            <w:tcBorders>
              <w:top w:val="single" w:sz="1" w:space="0" w:color="999999"/>
              <w:left w:val="single" w:sz="1" w:space="0" w:color="999999"/>
              <w:bottom w:val="single" w:sz="1" w:space="0" w:color="999999"/>
              <w:right w:val="single" w:sz="1" w:space="0" w:color="999999"/>
            </w:tcBorders>
            <w:shd w:val="clear" w:color="auto" w:fill="E6E6E6"/>
          </w:tcPr>
          <w:p w14:paraId="49462ED5" w14:textId="77777777" w:rsidR="0067548C" w:rsidRDefault="00000000">
            <w:pPr>
              <w:jc w:val="center"/>
            </w:pPr>
            <w:r>
              <w:rPr>
                <w:b/>
                <w:bCs/>
                <w:sz w:val="20"/>
                <w:szCs w:val="20"/>
              </w:rPr>
              <w:t>Inicial (1)</w:t>
            </w:r>
          </w:p>
        </w:tc>
      </w:tr>
      <w:tr w:rsidR="0067548C" w14:paraId="618F2D71" w14:textId="77777777">
        <w:tc>
          <w:tcPr>
            <w:tcW w:w="1800" w:type="dxa"/>
            <w:tcBorders>
              <w:top w:val="single" w:sz="1" w:space="0" w:color="999999"/>
              <w:left w:val="single" w:sz="1" w:space="0" w:color="999999"/>
              <w:bottom w:val="single" w:sz="1" w:space="0" w:color="999999"/>
              <w:right w:val="single" w:sz="1" w:space="0" w:color="999999"/>
            </w:tcBorders>
          </w:tcPr>
          <w:p w14:paraId="4BBD8CF6" w14:textId="77777777" w:rsidR="0067548C" w:rsidRDefault="00000000">
            <w:r>
              <w:rPr>
                <w:b/>
                <w:bCs/>
                <w:sz w:val="18"/>
                <w:szCs w:val="18"/>
              </w:rPr>
              <w:t>Análisis arquitectónico</w:t>
            </w:r>
          </w:p>
        </w:tc>
        <w:tc>
          <w:tcPr>
            <w:tcW w:w="1800" w:type="dxa"/>
            <w:tcBorders>
              <w:top w:val="single" w:sz="1" w:space="0" w:color="999999"/>
              <w:left w:val="single" w:sz="1" w:space="0" w:color="999999"/>
              <w:bottom w:val="single" w:sz="1" w:space="0" w:color="999999"/>
              <w:right w:val="single" w:sz="1" w:space="0" w:color="999999"/>
            </w:tcBorders>
          </w:tcPr>
          <w:p w14:paraId="41D59382" w14:textId="77777777" w:rsidR="0067548C" w:rsidRDefault="00000000">
            <w:r>
              <w:rPr>
                <w:sz w:val="18"/>
                <w:szCs w:val="18"/>
              </w:rPr>
              <w:t>Analiza profundamente elementos arquitectónicos góticos. Identifica características técnicas y estéticas.</w:t>
            </w:r>
          </w:p>
        </w:tc>
        <w:tc>
          <w:tcPr>
            <w:tcW w:w="1800" w:type="dxa"/>
            <w:tcBorders>
              <w:top w:val="single" w:sz="1" w:space="0" w:color="999999"/>
              <w:left w:val="single" w:sz="1" w:space="0" w:color="999999"/>
              <w:bottom w:val="single" w:sz="1" w:space="0" w:color="999999"/>
              <w:right w:val="single" w:sz="1" w:space="0" w:color="999999"/>
            </w:tcBorders>
          </w:tcPr>
          <w:p w14:paraId="3988A969" w14:textId="77777777" w:rsidR="0067548C" w:rsidRDefault="00000000">
            <w:r>
              <w:rPr>
                <w:sz w:val="18"/>
                <w:szCs w:val="18"/>
              </w:rPr>
              <w:t>Analiza elementos arquitectónicos principales.</w:t>
            </w:r>
          </w:p>
        </w:tc>
        <w:tc>
          <w:tcPr>
            <w:tcW w:w="1800" w:type="dxa"/>
            <w:tcBorders>
              <w:top w:val="single" w:sz="1" w:space="0" w:color="999999"/>
              <w:left w:val="single" w:sz="1" w:space="0" w:color="999999"/>
              <w:bottom w:val="single" w:sz="1" w:space="0" w:color="999999"/>
              <w:right w:val="single" w:sz="1" w:space="0" w:color="999999"/>
            </w:tcBorders>
          </w:tcPr>
          <w:p w14:paraId="4AD7EA0D" w14:textId="77777777" w:rsidR="0067548C" w:rsidRDefault="00000000">
            <w:r>
              <w:rPr>
                <w:sz w:val="18"/>
                <w:szCs w:val="18"/>
              </w:rPr>
              <w:t>Análisis superficial de arquitectura.</w:t>
            </w:r>
          </w:p>
        </w:tc>
        <w:tc>
          <w:tcPr>
            <w:tcW w:w="1800" w:type="dxa"/>
            <w:tcBorders>
              <w:top w:val="single" w:sz="1" w:space="0" w:color="999999"/>
              <w:left w:val="single" w:sz="1" w:space="0" w:color="999999"/>
              <w:bottom w:val="single" w:sz="1" w:space="0" w:color="999999"/>
              <w:right w:val="single" w:sz="1" w:space="0" w:color="999999"/>
            </w:tcBorders>
          </w:tcPr>
          <w:p w14:paraId="583AC472" w14:textId="77777777" w:rsidR="0067548C" w:rsidRDefault="00000000">
            <w:r>
              <w:rPr>
                <w:sz w:val="18"/>
                <w:szCs w:val="18"/>
              </w:rPr>
              <w:t>No analiza arquitectura significativamente.</w:t>
            </w:r>
          </w:p>
        </w:tc>
      </w:tr>
      <w:tr w:rsidR="0067548C" w14:paraId="7F403E77" w14:textId="77777777">
        <w:tc>
          <w:tcPr>
            <w:tcW w:w="1800" w:type="dxa"/>
            <w:tcBorders>
              <w:top w:val="single" w:sz="1" w:space="0" w:color="999999"/>
              <w:left w:val="single" w:sz="1" w:space="0" w:color="999999"/>
              <w:bottom w:val="single" w:sz="1" w:space="0" w:color="999999"/>
              <w:right w:val="single" w:sz="1" w:space="0" w:color="999999"/>
            </w:tcBorders>
          </w:tcPr>
          <w:p w14:paraId="4CCF34B2" w14:textId="77777777" w:rsidR="0067548C" w:rsidRDefault="00000000">
            <w:r>
              <w:rPr>
                <w:b/>
                <w:bCs/>
                <w:sz w:val="18"/>
                <w:szCs w:val="18"/>
              </w:rPr>
              <w:t>Comprensión de la devoción popular</w:t>
            </w:r>
          </w:p>
        </w:tc>
        <w:tc>
          <w:tcPr>
            <w:tcW w:w="1800" w:type="dxa"/>
            <w:tcBorders>
              <w:top w:val="single" w:sz="1" w:space="0" w:color="999999"/>
              <w:left w:val="single" w:sz="1" w:space="0" w:color="999999"/>
              <w:bottom w:val="single" w:sz="1" w:space="0" w:color="999999"/>
              <w:right w:val="single" w:sz="1" w:space="0" w:color="999999"/>
            </w:tcBorders>
          </w:tcPr>
          <w:p w14:paraId="4425790A" w14:textId="77777777" w:rsidR="0067548C" w:rsidRDefault="00000000">
            <w:r>
              <w:rPr>
                <w:sz w:val="18"/>
                <w:szCs w:val="18"/>
              </w:rPr>
              <w:t>Comprende profundamente el fenómeno de la devoción a la Virgen de Luján. Contextualiza históricamente.</w:t>
            </w:r>
          </w:p>
        </w:tc>
        <w:tc>
          <w:tcPr>
            <w:tcW w:w="1800" w:type="dxa"/>
            <w:tcBorders>
              <w:top w:val="single" w:sz="1" w:space="0" w:color="999999"/>
              <w:left w:val="single" w:sz="1" w:space="0" w:color="999999"/>
              <w:bottom w:val="single" w:sz="1" w:space="0" w:color="999999"/>
              <w:right w:val="single" w:sz="1" w:space="0" w:color="999999"/>
            </w:tcBorders>
          </w:tcPr>
          <w:p w14:paraId="6CA14F72" w14:textId="77777777" w:rsidR="0067548C" w:rsidRDefault="00000000">
            <w:r>
              <w:rPr>
                <w:sz w:val="18"/>
                <w:szCs w:val="18"/>
              </w:rPr>
              <w:t>Comprende aspectos principales de la devoción.</w:t>
            </w:r>
          </w:p>
        </w:tc>
        <w:tc>
          <w:tcPr>
            <w:tcW w:w="1800" w:type="dxa"/>
            <w:tcBorders>
              <w:top w:val="single" w:sz="1" w:space="0" w:color="999999"/>
              <w:left w:val="single" w:sz="1" w:space="0" w:color="999999"/>
              <w:bottom w:val="single" w:sz="1" w:space="0" w:color="999999"/>
              <w:right w:val="single" w:sz="1" w:space="0" w:color="999999"/>
            </w:tcBorders>
          </w:tcPr>
          <w:p w14:paraId="0371A7F4" w14:textId="77777777" w:rsidR="0067548C" w:rsidRDefault="00000000">
            <w:r>
              <w:rPr>
                <w:sz w:val="18"/>
                <w:szCs w:val="18"/>
              </w:rPr>
              <w:t>Comprensión básica de devoción popular.</w:t>
            </w:r>
          </w:p>
        </w:tc>
        <w:tc>
          <w:tcPr>
            <w:tcW w:w="1800" w:type="dxa"/>
            <w:tcBorders>
              <w:top w:val="single" w:sz="1" w:space="0" w:color="999999"/>
              <w:left w:val="single" w:sz="1" w:space="0" w:color="999999"/>
              <w:bottom w:val="single" w:sz="1" w:space="0" w:color="999999"/>
              <w:right w:val="single" w:sz="1" w:space="0" w:color="999999"/>
            </w:tcBorders>
          </w:tcPr>
          <w:p w14:paraId="3A44DF88" w14:textId="77777777" w:rsidR="0067548C" w:rsidRDefault="00000000">
            <w:r>
              <w:rPr>
                <w:sz w:val="18"/>
                <w:szCs w:val="18"/>
              </w:rPr>
              <w:t>Comprensión confusa del fenómeno religioso.</w:t>
            </w:r>
          </w:p>
        </w:tc>
      </w:tr>
      <w:tr w:rsidR="0067548C" w14:paraId="4E46643B" w14:textId="77777777">
        <w:tc>
          <w:tcPr>
            <w:tcW w:w="1800" w:type="dxa"/>
            <w:tcBorders>
              <w:top w:val="single" w:sz="1" w:space="0" w:color="999999"/>
              <w:left w:val="single" w:sz="1" w:space="0" w:color="999999"/>
              <w:bottom w:val="single" w:sz="1" w:space="0" w:color="999999"/>
              <w:right w:val="single" w:sz="1" w:space="0" w:color="999999"/>
            </w:tcBorders>
          </w:tcPr>
          <w:p w14:paraId="5EA9682B" w14:textId="77777777" w:rsidR="0067548C" w:rsidRDefault="00000000">
            <w:r>
              <w:rPr>
                <w:b/>
                <w:bCs/>
                <w:sz w:val="18"/>
                <w:szCs w:val="18"/>
              </w:rPr>
              <w:t>Interpretación de arte sacro</w:t>
            </w:r>
          </w:p>
        </w:tc>
        <w:tc>
          <w:tcPr>
            <w:tcW w:w="1800" w:type="dxa"/>
            <w:tcBorders>
              <w:top w:val="single" w:sz="1" w:space="0" w:color="999999"/>
              <w:left w:val="single" w:sz="1" w:space="0" w:color="999999"/>
              <w:bottom w:val="single" w:sz="1" w:space="0" w:color="999999"/>
              <w:right w:val="single" w:sz="1" w:space="0" w:color="999999"/>
            </w:tcBorders>
          </w:tcPr>
          <w:p w14:paraId="240E2D16" w14:textId="77777777" w:rsidR="0067548C" w:rsidRDefault="00000000">
            <w:r>
              <w:rPr>
                <w:sz w:val="18"/>
                <w:szCs w:val="18"/>
              </w:rPr>
              <w:t>Interpreta profundamente simbolismo del arte sacro. Explica significados teológicos y culturales.</w:t>
            </w:r>
          </w:p>
        </w:tc>
        <w:tc>
          <w:tcPr>
            <w:tcW w:w="1800" w:type="dxa"/>
            <w:tcBorders>
              <w:top w:val="single" w:sz="1" w:space="0" w:color="999999"/>
              <w:left w:val="single" w:sz="1" w:space="0" w:color="999999"/>
              <w:bottom w:val="single" w:sz="1" w:space="0" w:color="999999"/>
              <w:right w:val="single" w:sz="1" w:space="0" w:color="999999"/>
            </w:tcBorders>
          </w:tcPr>
          <w:p w14:paraId="4EE47B4F" w14:textId="77777777" w:rsidR="0067548C" w:rsidRDefault="00000000">
            <w:r>
              <w:rPr>
                <w:sz w:val="18"/>
                <w:szCs w:val="18"/>
              </w:rPr>
              <w:t>Interpreta elementos principales del arte sacro.</w:t>
            </w:r>
          </w:p>
        </w:tc>
        <w:tc>
          <w:tcPr>
            <w:tcW w:w="1800" w:type="dxa"/>
            <w:tcBorders>
              <w:top w:val="single" w:sz="1" w:space="0" w:color="999999"/>
              <w:left w:val="single" w:sz="1" w:space="0" w:color="999999"/>
              <w:bottom w:val="single" w:sz="1" w:space="0" w:color="999999"/>
              <w:right w:val="single" w:sz="1" w:space="0" w:color="999999"/>
            </w:tcBorders>
          </w:tcPr>
          <w:p w14:paraId="2E5B6921" w14:textId="77777777" w:rsidR="0067548C" w:rsidRDefault="00000000">
            <w:r>
              <w:rPr>
                <w:sz w:val="18"/>
                <w:szCs w:val="18"/>
              </w:rPr>
              <w:t>Interpretación superficial.</w:t>
            </w:r>
          </w:p>
        </w:tc>
        <w:tc>
          <w:tcPr>
            <w:tcW w:w="1800" w:type="dxa"/>
            <w:tcBorders>
              <w:top w:val="single" w:sz="1" w:space="0" w:color="999999"/>
              <w:left w:val="single" w:sz="1" w:space="0" w:color="999999"/>
              <w:bottom w:val="single" w:sz="1" w:space="0" w:color="999999"/>
              <w:right w:val="single" w:sz="1" w:space="0" w:color="999999"/>
            </w:tcBorders>
          </w:tcPr>
          <w:p w14:paraId="03DCF241" w14:textId="77777777" w:rsidR="0067548C" w:rsidRDefault="00000000">
            <w:r>
              <w:rPr>
                <w:sz w:val="18"/>
                <w:szCs w:val="18"/>
              </w:rPr>
              <w:t>No interpreta arte sacro significativamente.</w:t>
            </w:r>
          </w:p>
        </w:tc>
      </w:tr>
      <w:tr w:rsidR="0067548C" w14:paraId="4CD7808A" w14:textId="77777777">
        <w:tc>
          <w:tcPr>
            <w:tcW w:w="1800" w:type="dxa"/>
            <w:tcBorders>
              <w:top w:val="single" w:sz="1" w:space="0" w:color="999999"/>
              <w:left w:val="single" w:sz="1" w:space="0" w:color="999999"/>
              <w:bottom w:val="single" w:sz="1" w:space="0" w:color="999999"/>
              <w:right w:val="single" w:sz="1" w:space="0" w:color="999999"/>
            </w:tcBorders>
          </w:tcPr>
          <w:p w14:paraId="7D80033F" w14:textId="77777777" w:rsidR="0067548C" w:rsidRDefault="00000000">
            <w:r>
              <w:rPr>
                <w:b/>
                <w:bCs/>
                <w:sz w:val="18"/>
                <w:szCs w:val="18"/>
              </w:rPr>
              <w:t>Informe arquitectónico</w:t>
            </w:r>
          </w:p>
        </w:tc>
        <w:tc>
          <w:tcPr>
            <w:tcW w:w="1800" w:type="dxa"/>
            <w:tcBorders>
              <w:top w:val="single" w:sz="1" w:space="0" w:color="999999"/>
              <w:left w:val="single" w:sz="1" w:space="0" w:color="999999"/>
              <w:bottom w:val="single" w:sz="1" w:space="0" w:color="999999"/>
              <w:right w:val="single" w:sz="1" w:space="0" w:color="999999"/>
            </w:tcBorders>
          </w:tcPr>
          <w:p w14:paraId="33098398" w14:textId="77777777" w:rsidR="0067548C" w:rsidRDefault="00000000">
            <w:r>
              <w:rPr>
                <w:sz w:val="18"/>
                <w:szCs w:val="18"/>
              </w:rPr>
              <w:t>Informe completo, bien estructurado, con análisis profundo y comparaciones significativas.</w:t>
            </w:r>
          </w:p>
        </w:tc>
        <w:tc>
          <w:tcPr>
            <w:tcW w:w="1800" w:type="dxa"/>
            <w:tcBorders>
              <w:top w:val="single" w:sz="1" w:space="0" w:color="999999"/>
              <w:left w:val="single" w:sz="1" w:space="0" w:color="999999"/>
              <w:bottom w:val="single" w:sz="1" w:space="0" w:color="999999"/>
              <w:right w:val="single" w:sz="1" w:space="0" w:color="999999"/>
            </w:tcBorders>
          </w:tcPr>
          <w:p w14:paraId="0F0A33DD" w14:textId="77777777" w:rsidR="0067548C" w:rsidRDefault="00000000">
            <w:r>
              <w:rPr>
                <w:sz w:val="18"/>
                <w:szCs w:val="18"/>
              </w:rPr>
              <w:t>Informe claro con información relevante.</w:t>
            </w:r>
          </w:p>
        </w:tc>
        <w:tc>
          <w:tcPr>
            <w:tcW w:w="1800" w:type="dxa"/>
            <w:tcBorders>
              <w:top w:val="single" w:sz="1" w:space="0" w:color="999999"/>
              <w:left w:val="single" w:sz="1" w:space="0" w:color="999999"/>
              <w:bottom w:val="single" w:sz="1" w:space="0" w:color="999999"/>
              <w:right w:val="single" w:sz="1" w:space="0" w:color="999999"/>
            </w:tcBorders>
          </w:tcPr>
          <w:p w14:paraId="1574705E" w14:textId="77777777" w:rsidR="0067548C" w:rsidRDefault="00000000">
            <w:r>
              <w:rPr>
                <w:sz w:val="18"/>
                <w:szCs w:val="18"/>
              </w:rPr>
              <w:t>Informe básico con información incompleta.</w:t>
            </w:r>
          </w:p>
        </w:tc>
        <w:tc>
          <w:tcPr>
            <w:tcW w:w="1800" w:type="dxa"/>
            <w:tcBorders>
              <w:top w:val="single" w:sz="1" w:space="0" w:color="999999"/>
              <w:left w:val="single" w:sz="1" w:space="0" w:color="999999"/>
              <w:bottom w:val="single" w:sz="1" w:space="0" w:color="999999"/>
              <w:right w:val="single" w:sz="1" w:space="0" w:color="999999"/>
            </w:tcBorders>
          </w:tcPr>
          <w:p w14:paraId="2F0779C7" w14:textId="77777777" w:rsidR="0067548C" w:rsidRDefault="00000000">
            <w:r>
              <w:rPr>
                <w:sz w:val="18"/>
                <w:szCs w:val="18"/>
              </w:rPr>
              <w:t>Informe muy incompleto o sin estructura.</w:t>
            </w:r>
          </w:p>
        </w:tc>
      </w:tr>
      <w:tr w:rsidR="0067548C" w14:paraId="48A5DDCF" w14:textId="77777777">
        <w:tc>
          <w:tcPr>
            <w:tcW w:w="1800" w:type="dxa"/>
            <w:tcBorders>
              <w:top w:val="single" w:sz="1" w:space="0" w:color="999999"/>
              <w:left w:val="single" w:sz="1" w:space="0" w:color="999999"/>
              <w:bottom w:val="single" w:sz="1" w:space="0" w:color="999999"/>
              <w:right w:val="single" w:sz="1" w:space="0" w:color="999999"/>
            </w:tcBorders>
          </w:tcPr>
          <w:p w14:paraId="026AFF49" w14:textId="77777777" w:rsidR="0067548C" w:rsidRDefault="00000000">
            <w:r>
              <w:rPr>
                <w:b/>
                <w:bCs/>
                <w:sz w:val="18"/>
                <w:szCs w:val="18"/>
              </w:rPr>
              <w:t>Respeto y apreciación patrimonial</w:t>
            </w:r>
          </w:p>
        </w:tc>
        <w:tc>
          <w:tcPr>
            <w:tcW w:w="1800" w:type="dxa"/>
            <w:tcBorders>
              <w:top w:val="single" w:sz="1" w:space="0" w:color="999999"/>
              <w:left w:val="single" w:sz="1" w:space="0" w:color="999999"/>
              <w:bottom w:val="single" w:sz="1" w:space="0" w:color="999999"/>
              <w:right w:val="single" w:sz="1" w:space="0" w:color="999999"/>
            </w:tcBorders>
          </w:tcPr>
          <w:p w14:paraId="5DD03C21" w14:textId="77777777" w:rsidR="0067548C" w:rsidRDefault="00000000">
            <w:r>
              <w:rPr>
                <w:sz w:val="18"/>
                <w:szCs w:val="18"/>
              </w:rPr>
              <w:t>Demuestra profundo respeto por patrimonio religioso. Valora diversidad cultural sin sesgos.</w:t>
            </w:r>
          </w:p>
        </w:tc>
        <w:tc>
          <w:tcPr>
            <w:tcW w:w="1800" w:type="dxa"/>
            <w:tcBorders>
              <w:top w:val="single" w:sz="1" w:space="0" w:color="999999"/>
              <w:left w:val="single" w:sz="1" w:space="0" w:color="999999"/>
              <w:bottom w:val="single" w:sz="1" w:space="0" w:color="999999"/>
              <w:right w:val="single" w:sz="1" w:space="0" w:color="999999"/>
            </w:tcBorders>
          </w:tcPr>
          <w:p w14:paraId="189FA911" w14:textId="77777777" w:rsidR="0067548C" w:rsidRDefault="00000000">
            <w:r>
              <w:rPr>
                <w:sz w:val="18"/>
                <w:szCs w:val="18"/>
              </w:rPr>
              <w:t>Demuestra respeto por patrimonio.</w:t>
            </w:r>
          </w:p>
        </w:tc>
        <w:tc>
          <w:tcPr>
            <w:tcW w:w="1800" w:type="dxa"/>
            <w:tcBorders>
              <w:top w:val="single" w:sz="1" w:space="0" w:color="999999"/>
              <w:left w:val="single" w:sz="1" w:space="0" w:color="999999"/>
              <w:bottom w:val="single" w:sz="1" w:space="0" w:color="999999"/>
              <w:right w:val="single" w:sz="1" w:space="0" w:color="999999"/>
            </w:tcBorders>
          </w:tcPr>
          <w:p w14:paraId="4025AAF2" w14:textId="77777777" w:rsidR="0067548C" w:rsidRDefault="00000000">
            <w:r>
              <w:rPr>
                <w:sz w:val="18"/>
                <w:szCs w:val="18"/>
              </w:rPr>
              <w:t>Respeto básico.</w:t>
            </w:r>
          </w:p>
        </w:tc>
        <w:tc>
          <w:tcPr>
            <w:tcW w:w="1800" w:type="dxa"/>
            <w:tcBorders>
              <w:top w:val="single" w:sz="1" w:space="0" w:color="999999"/>
              <w:left w:val="single" w:sz="1" w:space="0" w:color="999999"/>
              <w:bottom w:val="single" w:sz="1" w:space="0" w:color="999999"/>
              <w:right w:val="single" w:sz="1" w:space="0" w:color="999999"/>
            </w:tcBorders>
          </w:tcPr>
          <w:p w14:paraId="001BE17B" w14:textId="77777777" w:rsidR="0067548C" w:rsidRDefault="00000000">
            <w:r>
              <w:rPr>
                <w:sz w:val="18"/>
                <w:szCs w:val="18"/>
              </w:rPr>
              <w:t>Falta de respeto o valoración.</w:t>
            </w:r>
          </w:p>
        </w:tc>
      </w:tr>
    </w:tbl>
    <w:p w14:paraId="1E3B3BE6" w14:textId="77777777" w:rsidR="0067548C" w:rsidRDefault="00000000">
      <w:pPr>
        <w:spacing w:before="200" w:after="100"/>
      </w:pPr>
      <w:r>
        <w:rPr>
          <w:b/>
          <w:bCs/>
        </w:rPr>
        <w:t>Escala de calificación:</w:t>
      </w:r>
    </w:p>
    <w:p w14:paraId="6175A56B" w14:textId="77777777" w:rsidR="0067548C" w:rsidRDefault="00000000">
      <w:pPr>
        <w:spacing w:after="60"/>
      </w:pPr>
      <w:r>
        <w:t>• 18-20 puntos: 10 (Excelente)</w:t>
      </w:r>
    </w:p>
    <w:p w14:paraId="7957E2EB" w14:textId="77777777" w:rsidR="0067548C" w:rsidRDefault="00000000">
      <w:pPr>
        <w:spacing w:after="60"/>
      </w:pPr>
      <w:r>
        <w:t>• 15-17 puntos: 8-9 (Muy bueno)</w:t>
      </w:r>
    </w:p>
    <w:p w14:paraId="3BA94489" w14:textId="77777777" w:rsidR="0067548C" w:rsidRDefault="00000000">
      <w:pPr>
        <w:spacing w:after="60"/>
      </w:pPr>
      <w:r>
        <w:t>• 12-14 puntos: 7 (Bueno)</w:t>
      </w:r>
    </w:p>
    <w:p w14:paraId="67B71CA6" w14:textId="77777777" w:rsidR="0067548C" w:rsidRDefault="00000000">
      <w:pPr>
        <w:spacing w:after="60"/>
      </w:pPr>
      <w:r>
        <w:t>• 9-11 puntos: 6 (Aprobado)</w:t>
      </w:r>
    </w:p>
    <w:p w14:paraId="76D3072F" w14:textId="77777777" w:rsidR="0067548C" w:rsidRDefault="00000000">
      <w:pPr>
        <w:spacing w:after="60"/>
      </w:pPr>
      <w:r>
        <w:t>• Menos de 9 puntos: Rehacer trabajo</w:t>
      </w:r>
    </w:p>
    <w:p w14:paraId="18C79215" w14:textId="77777777" w:rsidR="0067548C" w:rsidRDefault="00000000">
      <w:pPr>
        <w:spacing w:before="200" w:after="100"/>
      </w:pPr>
      <w:r>
        <w:rPr>
          <w:b/>
          <w:bCs/>
        </w:rPr>
        <w:t>Puntaje total: _______ / 20 puntos</w:t>
      </w:r>
    </w:p>
    <w:p w14:paraId="3B3BFAC8" w14:textId="4CD623E4" w:rsidR="0067548C" w:rsidRDefault="0067548C"/>
    <w:sectPr w:rsidR="0067548C" w:rsidSect="00A25902">
      <w:pgSz w:w="12240" w:h="20160" w:code="5"/>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660D2A"/>
    <w:multiLevelType w:val="hybridMultilevel"/>
    <w:tmpl w:val="5268C51A"/>
    <w:lvl w:ilvl="0" w:tplc="20608CB6">
      <w:start w:val="1"/>
      <w:numFmt w:val="bullet"/>
      <w:lvlText w:val="●"/>
      <w:lvlJc w:val="left"/>
      <w:pPr>
        <w:ind w:left="720" w:hanging="360"/>
      </w:pPr>
    </w:lvl>
    <w:lvl w:ilvl="1" w:tplc="919205B8">
      <w:start w:val="1"/>
      <w:numFmt w:val="bullet"/>
      <w:lvlText w:val="○"/>
      <w:lvlJc w:val="left"/>
      <w:pPr>
        <w:ind w:left="1440" w:hanging="360"/>
      </w:pPr>
    </w:lvl>
    <w:lvl w:ilvl="2" w:tplc="E53251D8">
      <w:start w:val="1"/>
      <w:numFmt w:val="bullet"/>
      <w:lvlText w:val="■"/>
      <w:lvlJc w:val="left"/>
      <w:pPr>
        <w:ind w:left="2160" w:hanging="360"/>
      </w:pPr>
    </w:lvl>
    <w:lvl w:ilvl="3" w:tplc="2894FA9C">
      <w:start w:val="1"/>
      <w:numFmt w:val="bullet"/>
      <w:lvlText w:val="●"/>
      <w:lvlJc w:val="left"/>
      <w:pPr>
        <w:ind w:left="2880" w:hanging="360"/>
      </w:pPr>
    </w:lvl>
    <w:lvl w:ilvl="4" w:tplc="F97E022E">
      <w:start w:val="1"/>
      <w:numFmt w:val="bullet"/>
      <w:lvlText w:val="○"/>
      <w:lvlJc w:val="left"/>
      <w:pPr>
        <w:ind w:left="3600" w:hanging="360"/>
      </w:pPr>
    </w:lvl>
    <w:lvl w:ilvl="5" w:tplc="18DC33B6">
      <w:start w:val="1"/>
      <w:numFmt w:val="bullet"/>
      <w:lvlText w:val="■"/>
      <w:lvlJc w:val="left"/>
      <w:pPr>
        <w:ind w:left="4320" w:hanging="360"/>
      </w:pPr>
    </w:lvl>
    <w:lvl w:ilvl="6" w:tplc="389C3E1E">
      <w:start w:val="1"/>
      <w:numFmt w:val="bullet"/>
      <w:lvlText w:val="●"/>
      <w:lvlJc w:val="left"/>
      <w:pPr>
        <w:ind w:left="5040" w:hanging="360"/>
      </w:pPr>
    </w:lvl>
    <w:lvl w:ilvl="7" w:tplc="6FD0F9FE">
      <w:start w:val="1"/>
      <w:numFmt w:val="bullet"/>
      <w:lvlText w:val="●"/>
      <w:lvlJc w:val="left"/>
      <w:pPr>
        <w:ind w:left="5760" w:hanging="360"/>
      </w:pPr>
    </w:lvl>
    <w:lvl w:ilvl="8" w:tplc="4C2A5B8C">
      <w:start w:val="1"/>
      <w:numFmt w:val="bullet"/>
      <w:lvlText w:val="●"/>
      <w:lvlJc w:val="left"/>
      <w:pPr>
        <w:ind w:left="6480" w:hanging="360"/>
      </w:pPr>
    </w:lvl>
  </w:abstractNum>
  <w:num w:numId="1" w16cid:durableId="2029288030">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0"/>
  <w:displayBackgroundShape/>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548C"/>
    <w:rsid w:val="000479D6"/>
    <w:rsid w:val="00087C0C"/>
    <w:rsid w:val="00154408"/>
    <w:rsid w:val="001B34FE"/>
    <w:rsid w:val="001F5FD4"/>
    <w:rsid w:val="00231A8C"/>
    <w:rsid w:val="00257299"/>
    <w:rsid w:val="004F6ADA"/>
    <w:rsid w:val="00636712"/>
    <w:rsid w:val="0067548C"/>
    <w:rsid w:val="007376BA"/>
    <w:rsid w:val="009027B9"/>
    <w:rsid w:val="009347A7"/>
    <w:rsid w:val="00974C42"/>
    <w:rsid w:val="00A25902"/>
    <w:rsid w:val="00B7482D"/>
    <w:rsid w:val="00C35EE5"/>
    <w:rsid w:val="00EB05E0"/>
  </w:rsids>
  <m:mathPr>
    <m:mathFont m:val="Cambria Math"/>
    <m:brkBin m:val="before"/>
    <m:brkBinSub m:val="--"/>
    <m:smallFrac m:val="0"/>
    <m:dispDef/>
    <m:lMargin m:val="0"/>
    <m:rMargin m:val="0"/>
    <m:defJc m:val="centerGroup"/>
    <m:wrapIndent m:val="1440"/>
    <m:intLim m:val="subSup"/>
    <m:naryLim m:val="undOvr"/>
  </m:mathPr>
  <w:themeFontLang w:val="es-419"/>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6A92EB"/>
  <w15:docId w15:val="{E1D2D565-C7C5-4EE5-BAB9-CF79BC40E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419" w:eastAsia="es-419"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FE"/>
  </w:style>
  <w:style w:type="paragraph" w:styleId="Ttulo1">
    <w:name w:val="heading 1"/>
    <w:uiPriority w:val="9"/>
    <w:qFormat/>
    <w:pPr>
      <w:outlineLvl w:val="0"/>
    </w:pPr>
    <w:rPr>
      <w:color w:val="2E74B5"/>
      <w:sz w:val="32"/>
      <w:szCs w:val="32"/>
    </w:rPr>
  </w:style>
  <w:style w:type="paragraph" w:styleId="Ttulo2">
    <w:name w:val="heading 2"/>
    <w:uiPriority w:val="9"/>
    <w:semiHidden/>
    <w:unhideWhenUsed/>
    <w:qFormat/>
    <w:pPr>
      <w:outlineLvl w:val="1"/>
    </w:pPr>
    <w:rPr>
      <w:color w:val="2E74B5"/>
      <w:sz w:val="26"/>
      <w:szCs w:val="26"/>
    </w:rPr>
  </w:style>
  <w:style w:type="paragraph" w:styleId="Ttulo3">
    <w:name w:val="heading 3"/>
    <w:uiPriority w:val="9"/>
    <w:semiHidden/>
    <w:unhideWhenUsed/>
    <w:qFormat/>
    <w:pPr>
      <w:outlineLvl w:val="2"/>
    </w:pPr>
    <w:rPr>
      <w:color w:val="1F4D78"/>
      <w:sz w:val="24"/>
      <w:szCs w:val="24"/>
    </w:rPr>
  </w:style>
  <w:style w:type="paragraph" w:styleId="Ttulo4">
    <w:name w:val="heading 4"/>
    <w:uiPriority w:val="9"/>
    <w:semiHidden/>
    <w:unhideWhenUsed/>
    <w:qFormat/>
    <w:pPr>
      <w:outlineLvl w:val="3"/>
    </w:pPr>
    <w:rPr>
      <w:i/>
      <w:iCs/>
      <w:color w:val="2E74B5"/>
    </w:rPr>
  </w:style>
  <w:style w:type="paragraph" w:styleId="Ttulo5">
    <w:name w:val="heading 5"/>
    <w:uiPriority w:val="9"/>
    <w:semiHidden/>
    <w:unhideWhenUsed/>
    <w:qFormat/>
    <w:pPr>
      <w:outlineLvl w:val="4"/>
    </w:pPr>
    <w:rPr>
      <w:color w:val="2E74B5"/>
    </w:rPr>
  </w:style>
  <w:style w:type="paragraph" w:styleId="Ttulo6">
    <w:name w:val="heading 6"/>
    <w:uiPriority w:val="9"/>
    <w:semiHidden/>
    <w:unhideWhenUsed/>
    <w:qFormat/>
    <w:pPr>
      <w:outlineLvl w:val="5"/>
    </w:pPr>
    <w:rPr>
      <w:color w:val="1F4D7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uiPriority w:val="10"/>
    <w:qFormat/>
    <w:rPr>
      <w:sz w:val="56"/>
      <w:szCs w:val="56"/>
    </w:rPr>
  </w:style>
  <w:style w:type="paragraph" w:customStyle="1" w:styleId="Textoennegrita1">
    <w:name w:val="Texto en negrita1"/>
    <w:qFormat/>
    <w:rPr>
      <w:b/>
      <w:bCs/>
    </w:rPr>
  </w:style>
  <w:style w:type="paragraph" w:styleId="Prrafodelista">
    <w:name w:val="List Paragraph"/>
    <w:qFormat/>
  </w:style>
  <w:style w:type="character" w:styleId="Hipervnculo">
    <w:name w:val="Hyperlink"/>
    <w:uiPriority w:val="99"/>
    <w:unhideWhenUsed/>
    <w:rPr>
      <w:color w:val="0563C1"/>
      <w:u w:val="single"/>
    </w:rPr>
  </w:style>
  <w:style w:type="character" w:styleId="Refdenotaalpie">
    <w:name w:val="footnote reference"/>
    <w:uiPriority w:val="99"/>
    <w:semiHidden/>
    <w:unhideWhenUsed/>
    <w:rPr>
      <w:vertAlign w:val="superscript"/>
    </w:rPr>
  </w:style>
  <w:style w:type="paragraph" w:styleId="Textonotapie">
    <w:name w:val="footnote text"/>
    <w:link w:val="TextonotapieCar"/>
    <w:uiPriority w:val="99"/>
    <w:semiHidden/>
    <w:unhideWhenUsed/>
    <w:rPr>
      <w:sz w:val="20"/>
      <w:szCs w:val="20"/>
    </w:rPr>
  </w:style>
  <w:style w:type="character" w:customStyle="1" w:styleId="TextonotapieCar">
    <w:name w:val="Texto nota pie Car"/>
    <w:link w:val="Textonotapie"/>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1146</Words>
  <Characters>6307</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Marcos Monteros</cp:lastModifiedBy>
  <cp:revision>2</cp:revision>
  <dcterms:created xsi:type="dcterms:W3CDTF">2026-01-20T14:38:00Z</dcterms:created>
  <dcterms:modified xsi:type="dcterms:W3CDTF">2026-01-20T14:38:00Z</dcterms:modified>
</cp:coreProperties>
</file>